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1423" w14:textId="2CA6ED29" w:rsidR="00392D96" w:rsidRPr="00392D96" w:rsidRDefault="00392D96" w:rsidP="00392D96">
      <w:pPr>
        <w:spacing w:after="160" w:line="240" w:lineRule="auto"/>
        <w:jc w:val="both"/>
        <w:rPr>
          <w:rFonts w:ascii="Times New Roman" w:hAnsi="Times New Roman" w:cs="Times New Roman"/>
          <w:sz w:val="20"/>
          <w:szCs w:val="20"/>
        </w:rPr>
      </w:pPr>
      <w:r w:rsidRPr="00392D96">
        <w:rPr>
          <w:rFonts w:ascii="Times New Roman" w:hAnsi="Times New Roman" w:cs="Times New Roman"/>
          <w:i/>
          <w:sz w:val="20"/>
          <w:szCs w:val="20"/>
        </w:rPr>
        <w:t>Synergies Turquie</w:t>
      </w:r>
      <w:r w:rsidRPr="00392D96">
        <w:rPr>
          <w:rFonts w:ascii="Times New Roman" w:hAnsi="Times New Roman" w:cs="Times New Roman"/>
          <w:sz w:val="20"/>
          <w:szCs w:val="20"/>
        </w:rPr>
        <w:t xml:space="preserve">, avec ce nouveau numéro, souligne l’impact de la pandémie Covid-19 sur l’enseignement des langues au niveau de la conception des modalités d’enseignement ainsi qu’à celui de l’utilisation des technologies numériques. </w:t>
      </w:r>
      <w:r w:rsidR="00D524DB" w:rsidRPr="00C16386">
        <w:rPr>
          <w:rFonts w:ascii="Times New Roman" w:hAnsi="Times New Roman" w:cs="Times New Roman"/>
          <w:sz w:val="20"/>
          <w:szCs w:val="20"/>
        </w:rPr>
        <w:t xml:space="preserve">En effet, il s’agissait, avec l’irruption du numérique dans l’ensemble des établissements, de tourner cette situation particulière en notre faveur. Nous nous interrogeons ainsi sur cette mise en œuvre, à marche forcée, de l’enseignement totalement à distance, hybride, ou encore </w:t>
      </w:r>
      <w:proofErr w:type="spellStart"/>
      <w:r w:rsidR="00D524DB" w:rsidRPr="00C16386">
        <w:rPr>
          <w:rFonts w:ascii="Times New Roman" w:hAnsi="Times New Roman" w:cs="Times New Roman"/>
          <w:sz w:val="20"/>
          <w:szCs w:val="20"/>
        </w:rPr>
        <w:t>comodal</w:t>
      </w:r>
      <w:proofErr w:type="spellEnd"/>
      <w:r w:rsidR="00D524DB" w:rsidRPr="00C16386">
        <w:rPr>
          <w:rFonts w:ascii="Times New Roman" w:hAnsi="Times New Roman" w:cs="Times New Roman"/>
          <w:sz w:val="20"/>
          <w:szCs w:val="20"/>
        </w:rPr>
        <w:t xml:space="preserve">. Comme le soulignent les articles que vous allez découvrir, cela implique une réflexion sur de nombreux niveaux tels que la création de parcours d’apprentissage, la continuité pédagogique, l’évaluation, l’animation de classe, la didactique de l’oral ou encore la formation pédagogique et technique des enseignants. </w:t>
      </w:r>
    </w:p>
    <w:p w14:paraId="4E1683D3" w14:textId="77777777" w:rsidR="00D66522" w:rsidRPr="00A464C4" w:rsidRDefault="00D66522" w:rsidP="00A464C4">
      <w:pPr>
        <w:rPr>
          <w:rFonts w:ascii="Times New Roman" w:hAnsi="Times New Roman" w:cs="Times New Roman"/>
          <w:sz w:val="24"/>
          <w:szCs w:val="24"/>
        </w:rPr>
      </w:pPr>
    </w:p>
    <w:sectPr w:rsidR="00D66522" w:rsidRPr="00A46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62"/>
    <w:rsid w:val="000E402F"/>
    <w:rsid w:val="00184139"/>
    <w:rsid w:val="001B55DC"/>
    <w:rsid w:val="001C4191"/>
    <w:rsid w:val="003374AD"/>
    <w:rsid w:val="00392D96"/>
    <w:rsid w:val="005D2344"/>
    <w:rsid w:val="006B0387"/>
    <w:rsid w:val="007A4553"/>
    <w:rsid w:val="008150F3"/>
    <w:rsid w:val="008D473F"/>
    <w:rsid w:val="00917703"/>
    <w:rsid w:val="00A464C4"/>
    <w:rsid w:val="00AE63CD"/>
    <w:rsid w:val="00B50E15"/>
    <w:rsid w:val="00BB0678"/>
    <w:rsid w:val="00C34F62"/>
    <w:rsid w:val="00C544F4"/>
    <w:rsid w:val="00D524DB"/>
    <w:rsid w:val="00D66522"/>
    <w:rsid w:val="00D85889"/>
    <w:rsid w:val="00EC11E6"/>
    <w:rsid w:val="00FA7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097A"/>
  <w15:chartTrackingRefBased/>
  <w15:docId w15:val="{1F0F73AF-7746-4D82-98E4-0695F8F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53"/>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fusun savli</dc:creator>
  <cp:keywords/>
  <dc:description/>
  <cp:lastModifiedBy>Sophie Aubin</cp:lastModifiedBy>
  <cp:revision>2</cp:revision>
  <dcterms:created xsi:type="dcterms:W3CDTF">2022-06-08T22:18:00Z</dcterms:created>
  <dcterms:modified xsi:type="dcterms:W3CDTF">2022-06-08T22:18:00Z</dcterms:modified>
</cp:coreProperties>
</file>