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0D" w:rsidRPr="000E4D0D" w:rsidRDefault="000F55C1" w:rsidP="000E4D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0E4D0D">
        <w:rPr>
          <w:rFonts w:ascii="Times New Roman" w:hAnsi="Times New Roman" w:cs="Times New Roman"/>
          <w:color w:val="000000"/>
          <w:sz w:val="20"/>
          <w:szCs w:val="20"/>
        </w:rPr>
        <w:t xml:space="preserve">Comme son titre l’indique, ce numéro 14 de </w:t>
      </w:r>
      <w:r w:rsidRPr="000E4D0D">
        <w:rPr>
          <w:rFonts w:ascii="Times New Roman" w:hAnsi="Times New Roman" w:cs="Times New Roman"/>
          <w:i/>
          <w:color w:val="000000"/>
          <w:sz w:val="20"/>
          <w:szCs w:val="20"/>
        </w:rPr>
        <w:t>Synergies Pologne</w:t>
      </w:r>
      <w:r w:rsidRPr="000E4D0D">
        <w:rPr>
          <w:rFonts w:ascii="Times New Roman" w:hAnsi="Times New Roman" w:cs="Times New Roman"/>
          <w:color w:val="000000"/>
          <w:sz w:val="20"/>
          <w:szCs w:val="20"/>
        </w:rPr>
        <w:t xml:space="preserve"> a pour objectif de croiser constats et réflexions sur des structures préfabriquées, souvent analysées sous d’autres appellations telles que </w:t>
      </w:r>
      <w:r w:rsidRPr="000E4D0D">
        <w:rPr>
          <w:rFonts w:ascii="Times New Roman" w:hAnsi="Times New Roman" w:cs="Times New Roman"/>
          <w:i/>
          <w:color w:val="000000"/>
          <w:sz w:val="20"/>
          <w:szCs w:val="20"/>
        </w:rPr>
        <w:t>séquences figées</w:t>
      </w:r>
      <w:r w:rsidRPr="000E4D0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E4D0D">
        <w:rPr>
          <w:rFonts w:ascii="Times New Roman" w:hAnsi="Times New Roman" w:cs="Times New Roman"/>
          <w:i/>
          <w:color w:val="000000"/>
          <w:sz w:val="20"/>
          <w:szCs w:val="20"/>
        </w:rPr>
        <w:t>collocations</w:t>
      </w:r>
      <w:r w:rsidRPr="000E4D0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E4D0D">
        <w:rPr>
          <w:rFonts w:ascii="Times New Roman" w:hAnsi="Times New Roman" w:cs="Times New Roman"/>
          <w:i/>
          <w:color w:val="000000"/>
          <w:sz w:val="20"/>
          <w:szCs w:val="20"/>
        </w:rPr>
        <w:t>colligations</w:t>
      </w:r>
      <w:r w:rsidRPr="000E4D0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E4D0D">
        <w:rPr>
          <w:rFonts w:ascii="Times New Roman" w:hAnsi="Times New Roman" w:cs="Times New Roman"/>
          <w:i/>
          <w:color w:val="000000"/>
          <w:sz w:val="20"/>
          <w:szCs w:val="20"/>
        </w:rPr>
        <w:t>segments répétés</w:t>
      </w:r>
      <w:r w:rsidRPr="000E4D0D">
        <w:rPr>
          <w:rFonts w:ascii="Times New Roman" w:hAnsi="Times New Roman" w:cs="Times New Roman"/>
          <w:color w:val="000000"/>
          <w:sz w:val="20"/>
          <w:szCs w:val="20"/>
        </w:rPr>
        <w:t xml:space="preserve"> et </w:t>
      </w:r>
      <w:r w:rsidRPr="000E4D0D">
        <w:rPr>
          <w:rFonts w:ascii="Times New Roman" w:hAnsi="Times New Roman" w:cs="Times New Roman"/>
          <w:i/>
          <w:color w:val="000000"/>
          <w:sz w:val="20"/>
          <w:szCs w:val="20"/>
        </w:rPr>
        <w:t>quasi-segments répétés</w:t>
      </w:r>
      <w:r w:rsidRPr="000E4D0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E4D0D">
        <w:rPr>
          <w:rFonts w:ascii="Times New Roman" w:hAnsi="Times New Roman" w:cs="Times New Roman"/>
          <w:i/>
          <w:color w:val="000000"/>
          <w:sz w:val="20"/>
          <w:szCs w:val="20"/>
        </w:rPr>
        <w:t>unités lexicales étendues</w:t>
      </w:r>
      <w:r w:rsidRPr="000E4D0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E4D0D">
        <w:rPr>
          <w:rFonts w:ascii="Times New Roman" w:hAnsi="Times New Roman" w:cs="Times New Roman"/>
          <w:i/>
          <w:color w:val="000000"/>
          <w:sz w:val="20"/>
          <w:szCs w:val="20"/>
        </w:rPr>
        <w:t>séquences</w:t>
      </w:r>
      <w:r w:rsidRPr="000E4D0D">
        <w:rPr>
          <w:rFonts w:ascii="Times New Roman" w:hAnsi="Times New Roman" w:cs="Times New Roman"/>
          <w:color w:val="000000"/>
          <w:sz w:val="20"/>
          <w:szCs w:val="20"/>
        </w:rPr>
        <w:t xml:space="preserve"> ou </w:t>
      </w:r>
      <w:r w:rsidRPr="000E4D0D">
        <w:rPr>
          <w:rFonts w:ascii="Times New Roman" w:hAnsi="Times New Roman" w:cs="Times New Roman"/>
          <w:i/>
          <w:color w:val="000000"/>
          <w:sz w:val="20"/>
          <w:szCs w:val="20"/>
        </w:rPr>
        <w:t>patrons formulaires</w:t>
      </w:r>
      <w:r w:rsidRPr="000E4D0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E4D0D">
        <w:rPr>
          <w:rFonts w:ascii="Times New Roman" w:hAnsi="Times New Roman" w:cs="Times New Roman"/>
          <w:i/>
          <w:color w:val="000000"/>
          <w:sz w:val="20"/>
          <w:szCs w:val="20"/>
        </w:rPr>
        <w:t>routines discursives</w:t>
      </w:r>
      <w:r w:rsidRPr="000E4D0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E4D0D">
        <w:rPr>
          <w:rFonts w:ascii="Times New Roman" w:hAnsi="Times New Roman" w:cs="Times New Roman"/>
          <w:i/>
          <w:color w:val="000000"/>
          <w:sz w:val="20"/>
          <w:szCs w:val="20"/>
        </w:rPr>
        <w:t>matrices lexicales</w:t>
      </w:r>
      <w:r w:rsidRPr="000E4D0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E4D0D">
        <w:rPr>
          <w:rFonts w:ascii="Times New Roman" w:hAnsi="Times New Roman" w:cs="Times New Roman"/>
          <w:i/>
          <w:color w:val="000000"/>
          <w:sz w:val="20"/>
          <w:szCs w:val="20"/>
        </w:rPr>
        <w:t>patrons</w:t>
      </w:r>
      <w:r w:rsidRPr="000E4D0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E4D0D">
        <w:rPr>
          <w:rFonts w:ascii="Times New Roman" w:hAnsi="Times New Roman" w:cs="Times New Roman"/>
          <w:i/>
          <w:color w:val="000000"/>
          <w:sz w:val="20"/>
          <w:szCs w:val="20"/>
        </w:rPr>
        <w:t>constructions</w:t>
      </w:r>
      <w:r w:rsidRPr="000E4D0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E4D0D">
        <w:rPr>
          <w:rFonts w:ascii="Times New Roman" w:hAnsi="Times New Roman" w:cs="Times New Roman"/>
          <w:i/>
          <w:color w:val="000000"/>
          <w:sz w:val="20"/>
          <w:szCs w:val="20"/>
        </w:rPr>
        <w:t>constructions préformées</w:t>
      </w:r>
      <w:r w:rsidRPr="000E4D0D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E4D0D">
        <w:rPr>
          <w:rFonts w:ascii="Times New Roman" w:hAnsi="Times New Roman" w:cs="Times New Roman"/>
          <w:i/>
          <w:color w:val="000000"/>
          <w:sz w:val="20"/>
          <w:szCs w:val="20"/>
        </w:rPr>
        <w:t>motifs lexico-syntaxiques</w:t>
      </w:r>
      <w:r w:rsidRPr="000E4D0D">
        <w:rPr>
          <w:rFonts w:ascii="Times New Roman" w:hAnsi="Times New Roman" w:cs="Times New Roman"/>
          <w:color w:val="000000"/>
          <w:sz w:val="20"/>
          <w:szCs w:val="20"/>
        </w:rPr>
        <w:t>…</w:t>
      </w:r>
    </w:p>
    <w:p w:rsidR="000F55C1" w:rsidRPr="000E4D0D" w:rsidRDefault="000F55C1" w:rsidP="000E4D0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4D0D">
        <w:rPr>
          <w:rFonts w:ascii="Times New Roman" w:eastAsia="Times New Roman" w:hAnsi="Times New Roman" w:cs="Times New Roman"/>
          <w:sz w:val="20"/>
          <w:szCs w:val="20"/>
        </w:rPr>
        <w:t xml:space="preserve">Il propose un panorama des recherches actuelles menées en phraséologie étendue et contribue à la réflexion engagée depuis une dizaine d’années dans ce domaine. </w:t>
      </w:r>
    </w:p>
    <w:p w:rsidR="000F55C1" w:rsidRPr="000E4D0D" w:rsidRDefault="000F55C1" w:rsidP="000E4D0D">
      <w:pPr>
        <w:spacing w:line="240" w:lineRule="auto"/>
        <w:jc w:val="both"/>
        <w:rPr>
          <w:sz w:val="20"/>
          <w:szCs w:val="20"/>
        </w:rPr>
      </w:pPr>
    </w:p>
    <w:sectPr w:rsidR="000F55C1" w:rsidRPr="000E4D0D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C1"/>
    <w:rsid w:val="00086F3A"/>
    <w:rsid w:val="000E4D0D"/>
    <w:rsid w:val="000F55C1"/>
    <w:rsid w:val="004F420B"/>
    <w:rsid w:val="0068673B"/>
    <w:rsid w:val="00C2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B6C51-54C0-4C9F-AC8A-171B3D44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2018-04-26T22:36:00Z</dcterms:created>
  <dcterms:modified xsi:type="dcterms:W3CDTF">2018-04-26T22:36:00Z</dcterms:modified>
</cp:coreProperties>
</file>