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8E" w:rsidRDefault="00C3398E" w:rsidP="00C3398E">
      <w:pPr>
        <w:jc w:val="both"/>
        <w:rPr>
          <w:sz w:val="20"/>
          <w:szCs w:val="20"/>
        </w:rPr>
      </w:pPr>
      <w:bookmarkStart w:id="0" w:name="_GoBack"/>
      <w:bookmarkEnd w:id="0"/>
      <w:r>
        <w:rPr>
          <w:sz w:val="20"/>
          <w:szCs w:val="20"/>
        </w:rPr>
        <w:t xml:space="preserve">Ce nouveau numéro de la revue </w:t>
      </w:r>
      <w:r w:rsidRPr="004268FF">
        <w:rPr>
          <w:i/>
          <w:sz w:val="20"/>
          <w:szCs w:val="20"/>
        </w:rPr>
        <w:t>Synergies Europe</w:t>
      </w:r>
      <w:r>
        <w:rPr>
          <w:sz w:val="20"/>
          <w:szCs w:val="20"/>
        </w:rPr>
        <w:t xml:space="preserve"> est traditionnellement organisé en trois parties mais il contient une </w:t>
      </w:r>
      <w:r w:rsidRPr="00A2696C">
        <w:rPr>
          <w:b/>
          <w:sz w:val="20"/>
          <w:szCs w:val="20"/>
        </w:rPr>
        <w:t>4</w:t>
      </w:r>
      <w:r w:rsidRPr="00A2696C">
        <w:rPr>
          <w:b/>
          <w:sz w:val="20"/>
          <w:szCs w:val="20"/>
          <w:vertAlign w:val="superscript"/>
        </w:rPr>
        <w:t>e</w:t>
      </w:r>
      <w:r w:rsidRPr="00A2696C">
        <w:rPr>
          <w:b/>
          <w:sz w:val="20"/>
          <w:szCs w:val="20"/>
        </w:rPr>
        <w:t xml:space="preserve"> partie spéciale</w:t>
      </w:r>
      <w:r>
        <w:rPr>
          <w:sz w:val="20"/>
          <w:szCs w:val="20"/>
        </w:rPr>
        <w:t xml:space="preserve"> intégralement consacrée à un compte rendu d’exception que nous avons l’honneur et le plaisir d’accueillir, celui que </w:t>
      </w:r>
      <w:r w:rsidRPr="002378FD">
        <w:rPr>
          <w:b/>
          <w:sz w:val="20"/>
          <w:szCs w:val="20"/>
        </w:rPr>
        <w:t>Claude Germain</w:t>
      </w:r>
      <w:r>
        <w:rPr>
          <w:sz w:val="20"/>
          <w:szCs w:val="20"/>
        </w:rPr>
        <w:t xml:space="preserve"> a réalisé de l’ouvrage passionnant de</w:t>
      </w:r>
      <w:r w:rsidRPr="002378FD">
        <w:rPr>
          <w:b/>
          <w:sz w:val="20"/>
          <w:szCs w:val="20"/>
          <w:lang w:val="fr-CA"/>
        </w:rPr>
        <w:t xml:space="preserve"> </w:t>
      </w:r>
      <w:r w:rsidRPr="002378FD">
        <w:rPr>
          <w:sz w:val="20"/>
          <w:szCs w:val="20"/>
          <w:lang w:val="fr-CA"/>
        </w:rPr>
        <w:t xml:space="preserve">Jean Caravolas : </w:t>
      </w:r>
      <w:r w:rsidRPr="002378FD">
        <w:rPr>
          <w:i/>
          <w:sz w:val="20"/>
          <w:szCs w:val="20"/>
          <w:lang w:val="fr-CA"/>
        </w:rPr>
        <w:t>Les Français et Jan Amos Coménius – Histoire d’une relation difficile (1631-2000</w:t>
      </w:r>
      <w:r w:rsidRPr="004E751C">
        <w:rPr>
          <w:rStyle w:val="Refdenotaalfinal"/>
          <w:i/>
          <w:sz w:val="20"/>
          <w:szCs w:val="20"/>
          <w:lang w:val="fr-CA"/>
        </w:rPr>
        <w:t xml:space="preserve"> </w:t>
      </w:r>
      <w:r>
        <w:rPr>
          <w:sz w:val="20"/>
          <w:szCs w:val="20"/>
          <w:lang w:val="fr-CA"/>
        </w:rPr>
        <w:t>)</w:t>
      </w:r>
      <w:r>
        <w:rPr>
          <w:sz w:val="20"/>
          <w:szCs w:val="20"/>
        </w:rPr>
        <w:t>.</w:t>
      </w:r>
    </w:p>
    <w:p w:rsidR="00C3398E" w:rsidRDefault="00C3398E" w:rsidP="00C3398E">
      <w:pPr>
        <w:jc w:val="both"/>
        <w:rPr>
          <w:sz w:val="20"/>
          <w:szCs w:val="20"/>
        </w:rPr>
      </w:pPr>
    </w:p>
    <w:p w:rsidR="00C3398E" w:rsidRDefault="00C3398E" w:rsidP="00C3398E">
      <w:pPr>
        <w:pStyle w:val="yiv638099841msonormal"/>
        <w:tabs>
          <w:tab w:val="left" w:pos="5040"/>
        </w:tabs>
        <w:spacing w:before="57" w:after="57"/>
        <w:jc w:val="both"/>
        <w:rPr>
          <w:sz w:val="20"/>
          <w:szCs w:val="20"/>
        </w:rPr>
      </w:pPr>
      <w:r>
        <w:rPr>
          <w:sz w:val="20"/>
          <w:szCs w:val="20"/>
        </w:rPr>
        <w:t>L’autre particularité de ce douzième numéro est de s’inscrire dans une continuité immédiate par rapport au numéro précédent. En effet, le dernier volet du numéro 11</w:t>
      </w:r>
      <w:r w:rsidR="007722DD">
        <w:rPr>
          <w:sz w:val="20"/>
          <w:szCs w:val="20"/>
        </w:rPr>
        <w:t xml:space="preserve"> </w:t>
      </w:r>
      <w:r>
        <w:rPr>
          <w:sz w:val="20"/>
          <w:szCs w:val="20"/>
        </w:rPr>
        <w:t>s’achevait sur diverses approches de l’enseignement-apprentissage de la langue-culture française. Ainsi, en passant au numéro 12, le lecteur aura-t-il l’occasion de retrouver, dans des contextes éducatifs plus nombreux et sous des angles semblables et différents, l’étude de pratiques de classe de langues vivantes, la dimension culturelle de cet enseignement, le français dans un système éducatif précis comme celui de la Slovaquie, l</w:t>
      </w:r>
      <w:r w:rsidR="007722DD">
        <w:rPr>
          <w:sz w:val="20"/>
          <w:szCs w:val="20"/>
        </w:rPr>
        <w:t xml:space="preserve">e </w:t>
      </w:r>
      <w:r>
        <w:rPr>
          <w:sz w:val="20"/>
          <w:szCs w:val="20"/>
        </w:rPr>
        <w:t xml:space="preserve">constructivisme, entre autres thématiques. Il retrouvera </w:t>
      </w:r>
      <w:r w:rsidR="001B3F81">
        <w:rPr>
          <w:sz w:val="20"/>
          <w:szCs w:val="20"/>
        </w:rPr>
        <w:t xml:space="preserve">en outre </w:t>
      </w:r>
      <w:r>
        <w:rPr>
          <w:sz w:val="20"/>
          <w:szCs w:val="20"/>
        </w:rPr>
        <w:t xml:space="preserve">une dynamique didactique internationale aussi théorique que pratique entre l’Europe, la France et d’autres parties du monde telle que l’île Maurice par exemple et puis une nouvelle « touche eurasienne » en direction et en provenance cette fois du Vietnam et de l’Iran. Ce numéro 12 emprunte également les chemins incontournables des nouvelles technologies, de l’apport du numérique et des réseaux sociaux. </w:t>
      </w:r>
    </w:p>
    <w:p w:rsidR="00DB1CB2" w:rsidRPr="00140668" w:rsidRDefault="00DB1CB2" w:rsidP="00140668"/>
    <w:sectPr w:rsidR="00DB1CB2" w:rsidRPr="00140668" w:rsidSect="001F74F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CB2" w:rsidRDefault="00DB1CB2" w:rsidP="00DB1CB2">
      <w:r>
        <w:separator/>
      </w:r>
    </w:p>
  </w:endnote>
  <w:endnote w:type="continuationSeparator" w:id="0">
    <w:p w:rsidR="00DB1CB2" w:rsidRDefault="00DB1CB2" w:rsidP="00DB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CB2" w:rsidRDefault="00DB1CB2" w:rsidP="00DB1CB2">
      <w:r>
        <w:separator/>
      </w:r>
    </w:p>
  </w:footnote>
  <w:footnote w:type="continuationSeparator" w:id="0">
    <w:p w:rsidR="00DB1CB2" w:rsidRDefault="00DB1CB2" w:rsidP="00DB1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B"/>
    <w:rsid w:val="00140668"/>
    <w:rsid w:val="001B3F81"/>
    <w:rsid w:val="001F74FA"/>
    <w:rsid w:val="00596659"/>
    <w:rsid w:val="005E0130"/>
    <w:rsid w:val="007722DD"/>
    <w:rsid w:val="00796672"/>
    <w:rsid w:val="009B093D"/>
    <w:rsid w:val="00A773FE"/>
    <w:rsid w:val="00A9229A"/>
    <w:rsid w:val="00B17DFD"/>
    <w:rsid w:val="00BB4D03"/>
    <w:rsid w:val="00C3398E"/>
    <w:rsid w:val="00CC0970"/>
    <w:rsid w:val="00CE6D77"/>
    <w:rsid w:val="00D5172B"/>
    <w:rsid w:val="00DB1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E7288-36BD-4FD3-B5C3-A259B7A6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CB2"/>
    <w:pPr>
      <w:spacing w:after="0" w:line="240" w:lineRule="auto"/>
    </w:pPr>
    <w:rPr>
      <w:rFonts w:ascii="Times New Roman" w:eastAsia="Times New Roman" w:hAnsi="Times New Roman" w:cs="Times New Roman"/>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rsid w:val="00DB1CB2"/>
    <w:rPr>
      <w:sz w:val="20"/>
      <w:szCs w:val="20"/>
    </w:rPr>
  </w:style>
  <w:style w:type="character" w:customStyle="1" w:styleId="TextonotaalfinalCar">
    <w:name w:val="Texto nota al final Car"/>
    <w:basedOn w:val="Fuentedeprrafopredeter"/>
    <w:link w:val="Textonotaalfinal"/>
    <w:uiPriority w:val="99"/>
    <w:rsid w:val="00DB1CB2"/>
    <w:rPr>
      <w:rFonts w:ascii="Times New Roman" w:eastAsia="Times New Roman" w:hAnsi="Times New Roman" w:cs="Times New Roman"/>
      <w:sz w:val="20"/>
      <w:szCs w:val="20"/>
      <w:lang w:eastAsia="fr-FR"/>
    </w:rPr>
  </w:style>
  <w:style w:type="character" w:styleId="Refdenotaalfinal">
    <w:name w:val="endnote reference"/>
    <w:basedOn w:val="Fuentedeprrafopredeter"/>
    <w:uiPriority w:val="99"/>
    <w:rsid w:val="00DB1CB2"/>
    <w:rPr>
      <w:vertAlign w:val="superscript"/>
    </w:rPr>
  </w:style>
  <w:style w:type="paragraph" w:customStyle="1" w:styleId="yiv638099841msonormal">
    <w:name w:val="yiv638099841msonormal"/>
    <w:basedOn w:val="Normal"/>
    <w:rsid w:val="00C3398E"/>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7F640-E9B8-4F44-BD89-C0BA4965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 Aubin</cp:lastModifiedBy>
  <cp:revision>2</cp:revision>
  <dcterms:created xsi:type="dcterms:W3CDTF">2018-04-19T17:05:00Z</dcterms:created>
  <dcterms:modified xsi:type="dcterms:W3CDTF">2018-04-19T17:05:00Z</dcterms:modified>
</cp:coreProperties>
</file>